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D82" w:rsidRPr="00071D82" w:rsidRDefault="00071D82" w:rsidP="00071D82">
      <w:pPr>
        <w:spacing w:line="254" w:lineRule="auto"/>
        <w:jc w:val="center"/>
        <w:rPr>
          <w:i/>
          <w:sz w:val="28"/>
        </w:rPr>
      </w:pPr>
      <w:r w:rsidRPr="00071D82">
        <w:rPr>
          <w:i/>
          <w:sz w:val="28"/>
        </w:rPr>
        <w:t>IC “A. Casalini” San Marzano di S. G. (Ta)</w:t>
      </w:r>
    </w:p>
    <w:p w:rsidR="00804832" w:rsidRDefault="00804832" w:rsidP="00071D82">
      <w:pPr>
        <w:spacing w:after="0" w:line="254" w:lineRule="auto"/>
        <w:jc w:val="center"/>
        <w:rPr>
          <w:sz w:val="28"/>
        </w:rPr>
      </w:pPr>
      <w:r>
        <w:rPr>
          <w:b/>
          <w:sz w:val="28"/>
        </w:rPr>
        <w:t>All. 8</w:t>
      </w:r>
      <w:r w:rsidR="00DA18DB">
        <w:rPr>
          <w:sz w:val="28"/>
        </w:rPr>
        <w:t xml:space="preserve"> al</w:t>
      </w:r>
      <w:r w:rsidR="00071D82" w:rsidRPr="00071D82">
        <w:rPr>
          <w:sz w:val="28"/>
        </w:rPr>
        <w:t xml:space="preserve"> PEI </w:t>
      </w:r>
      <w:r w:rsidR="00071D82" w:rsidRPr="00071D82">
        <w:rPr>
          <w:b/>
          <w:sz w:val="28"/>
        </w:rPr>
        <w:t>–</w:t>
      </w:r>
      <w:r>
        <w:rPr>
          <w:b/>
          <w:sz w:val="28"/>
        </w:rPr>
        <w:t xml:space="preserve"> RACCORDO DIMENSIONI-AREE/ASSI</w:t>
      </w:r>
      <w:r w:rsidR="00071D82" w:rsidRPr="00071D82">
        <w:rPr>
          <w:sz w:val="28"/>
        </w:rPr>
        <w:t xml:space="preserve"> </w:t>
      </w:r>
    </w:p>
    <w:p w:rsidR="00071D82" w:rsidRPr="00071D82" w:rsidRDefault="00804832" w:rsidP="00DA18DB">
      <w:pPr>
        <w:spacing w:after="0" w:line="254" w:lineRule="auto"/>
        <w:jc w:val="center"/>
        <w:rPr>
          <w:sz w:val="28"/>
        </w:rPr>
      </w:pPr>
      <w:r>
        <w:rPr>
          <w:sz w:val="28"/>
        </w:rPr>
        <w:t>per la compilazione della sez.2</w:t>
      </w:r>
      <w:r w:rsidR="00DA18DB">
        <w:rPr>
          <w:sz w:val="28"/>
        </w:rPr>
        <w:t xml:space="preserve"> </w:t>
      </w:r>
      <w:bookmarkStart w:id="0" w:name="_GoBack"/>
      <w:bookmarkEnd w:id="0"/>
      <w:r w:rsidR="00071D82" w:rsidRPr="00071D82">
        <w:rPr>
          <w:i/>
          <w:sz w:val="28"/>
        </w:rPr>
        <w:t>(</w:t>
      </w:r>
      <w:r>
        <w:rPr>
          <w:i/>
          <w:sz w:val="28"/>
        </w:rPr>
        <w:t>Elementi generali desunti dal Profilo di Funzionamento</w:t>
      </w:r>
      <w:r w:rsidR="00071D82" w:rsidRPr="00071D82">
        <w:rPr>
          <w:i/>
          <w:sz w:val="28"/>
        </w:rPr>
        <w:t>)</w:t>
      </w:r>
    </w:p>
    <w:p w:rsidR="00071D82" w:rsidRDefault="00071D82" w:rsidP="00270D16">
      <w:pPr>
        <w:spacing w:after="0"/>
        <w:rPr>
          <w:sz w:val="24"/>
        </w:rPr>
      </w:pPr>
    </w:p>
    <w:p w:rsidR="00270D16" w:rsidRDefault="00270D16" w:rsidP="00270D16">
      <w:pPr>
        <w:spacing w:after="0"/>
        <w:rPr>
          <w:sz w:val="24"/>
        </w:rPr>
      </w:pPr>
      <w:r w:rsidRPr="00270D16">
        <w:rPr>
          <w:sz w:val="24"/>
        </w:rPr>
        <w:t>Ricordiamo che, ai sensi del DPR 24 febbraio 1994, venivano individuati</w:t>
      </w:r>
    </w:p>
    <w:p w:rsidR="00270D16" w:rsidRPr="00270D16" w:rsidRDefault="00071D82" w:rsidP="00270D16">
      <w:pPr>
        <w:spacing w:after="0"/>
        <w:rPr>
          <w:sz w:val="24"/>
        </w:rPr>
      </w:pPr>
      <w:r>
        <w:rPr>
          <w:sz w:val="24"/>
        </w:rPr>
        <w:t xml:space="preserve">nella </w:t>
      </w:r>
      <w:r w:rsidR="00804832" w:rsidRPr="00804832">
        <w:rPr>
          <w:b/>
          <w:sz w:val="24"/>
        </w:rPr>
        <w:t>DIAGNOSI FUNZIONALE</w:t>
      </w:r>
      <w:r w:rsidR="00804832">
        <w:rPr>
          <w:sz w:val="24"/>
        </w:rPr>
        <w:t xml:space="preserve"> </w:t>
      </w:r>
      <w:r w:rsidR="00E428A9">
        <w:rPr>
          <w:sz w:val="24"/>
        </w:rPr>
        <w:t>7 “</w:t>
      </w:r>
      <w:r>
        <w:rPr>
          <w:sz w:val="24"/>
        </w:rPr>
        <w:t>AREE</w:t>
      </w:r>
      <w:r w:rsidR="00270D16" w:rsidRPr="00270D16">
        <w:rPr>
          <w:sz w:val="24"/>
        </w:rPr>
        <w:t xml:space="preserve">”: </w:t>
      </w:r>
    </w:p>
    <w:p w:rsidR="00270D16" w:rsidRPr="00270D16" w:rsidRDefault="00270D16" w:rsidP="00270D16">
      <w:pPr>
        <w:numPr>
          <w:ilvl w:val="0"/>
          <w:numId w:val="1"/>
        </w:numPr>
        <w:spacing w:after="0"/>
        <w:rPr>
          <w:sz w:val="24"/>
        </w:rPr>
      </w:pPr>
      <w:r w:rsidRPr="00270D16">
        <w:rPr>
          <w:sz w:val="24"/>
        </w:rPr>
        <w:t xml:space="preserve">COGNITIVO; </w:t>
      </w:r>
    </w:p>
    <w:p w:rsidR="00270D16" w:rsidRPr="00270D16" w:rsidRDefault="00270D16" w:rsidP="00270D16">
      <w:pPr>
        <w:numPr>
          <w:ilvl w:val="0"/>
          <w:numId w:val="1"/>
        </w:numPr>
        <w:spacing w:after="0"/>
        <w:rPr>
          <w:sz w:val="24"/>
        </w:rPr>
      </w:pPr>
      <w:r w:rsidRPr="00270D16">
        <w:rPr>
          <w:sz w:val="24"/>
        </w:rPr>
        <w:t xml:space="preserve">AFFETTIVO-RELAZIONALE; </w:t>
      </w:r>
    </w:p>
    <w:p w:rsidR="00270D16" w:rsidRPr="00270D16" w:rsidRDefault="00270D16" w:rsidP="00270D16">
      <w:pPr>
        <w:numPr>
          <w:ilvl w:val="0"/>
          <w:numId w:val="1"/>
        </w:numPr>
        <w:spacing w:after="0"/>
        <w:rPr>
          <w:sz w:val="24"/>
        </w:rPr>
      </w:pPr>
      <w:r w:rsidRPr="00270D16">
        <w:rPr>
          <w:sz w:val="24"/>
        </w:rPr>
        <w:t xml:space="preserve">LINGUISTICO; </w:t>
      </w:r>
    </w:p>
    <w:p w:rsidR="00270D16" w:rsidRPr="00270D16" w:rsidRDefault="00270D16" w:rsidP="00270D16">
      <w:pPr>
        <w:numPr>
          <w:ilvl w:val="0"/>
          <w:numId w:val="1"/>
        </w:numPr>
        <w:spacing w:after="0"/>
        <w:rPr>
          <w:sz w:val="24"/>
        </w:rPr>
      </w:pPr>
      <w:r w:rsidRPr="00270D16">
        <w:rPr>
          <w:sz w:val="24"/>
        </w:rPr>
        <w:t xml:space="preserve">SENSORIALE; </w:t>
      </w:r>
    </w:p>
    <w:p w:rsidR="00270D16" w:rsidRPr="00270D16" w:rsidRDefault="00270D16" w:rsidP="00270D16">
      <w:pPr>
        <w:numPr>
          <w:ilvl w:val="0"/>
          <w:numId w:val="1"/>
        </w:numPr>
        <w:spacing w:after="0"/>
        <w:rPr>
          <w:sz w:val="24"/>
        </w:rPr>
      </w:pPr>
      <w:r w:rsidRPr="00270D16">
        <w:rPr>
          <w:sz w:val="24"/>
        </w:rPr>
        <w:t xml:space="preserve">MOTORIO-PRASSICO; </w:t>
      </w:r>
    </w:p>
    <w:p w:rsidR="00270D16" w:rsidRPr="00270D16" w:rsidRDefault="00270D16" w:rsidP="00270D16">
      <w:pPr>
        <w:numPr>
          <w:ilvl w:val="0"/>
          <w:numId w:val="1"/>
        </w:numPr>
        <w:spacing w:after="0"/>
        <w:rPr>
          <w:sz w:val="24"/>
        </w:rPr>
      </w:pPr>
      <w:r w:rsidRPr="00270D16">
        <w:rPr>
          <w:sz w:val="24"/>
        </w:rPr>
        <w:t xml:space="preserve">          </w:t>
      </w:r>
      <w:r>
        <w:rPr>
          <w:sz w:val="24"/>
        </w:rPr>
        <w:t xml:space="preserve">   </w:t>
      </w:r>
      <w:r w:rsidRPr="00270D16">
        <w:rPr>
          <w:sz w:val="24"/>
        </w:rPr>
        <w:t xml:space="preserve">NEUROPSICOLOGICO; </w:t>
      </w:r>
    </w:p>
    <w:p w:rsidR="00270D16" w:rsidRPr="00270D16" w:rsidRDefault="00270D16" w:rsidP="00270D16">
      <w:pPr>
        <w:numPr>
          <w:ilvl w:val="0"/>
          <w:numId w:val="1"/>
        </w:numPr>
        <w:spacing w:after="0"/>
        <w:rPr>
          <w:sz w:val="24"/>
        </w:rPr>
      </w:pPr>
      <w:r w:rsidRPr="00270D16">
        <w:rPr>
          <w:sz w:val="24"/>
        </w:rPr>
        <w:t xml:space="preserve">DELL’AUTONOMIA PERSONALE E SOCIALE; </w:t>
      </w:r>
    </w:p>
    <w:p w:rsidR="00270D16" w:rsidRPr="00270D16" w:rsidRDefault="00E428A9" w:rsidP="00270D16">
      <w:pPr>
        <w:spacing w:after="0"/>
        <w:rPr>
          <w:sz w:val="24"/>
        </w:rPr>
      </w:pPr>
      <w:r>
        <w:rPr>
          <w:sz w:val="24"/>
        </w:rPr>
        <w:t>N</w:t>
      </w:r>
      <w:r w:rsidR="00270D16" w:rsidRPr="00270D16">
        <w:rPr>
          <w:sz w:val="24"/>
        </w:rPr>
        <w:t xml:space="preserve">el </w:t>
      </w:r>
      <w:r w:rsidR="00804832" w:rsidRPr="00804832">
        <w:rPr>
          <w:b/>
          <w:sz w:val="24"/>
        </w:rPr>
        <w:t>PROFILO DINAMICO FUNZIONALE</w:t>
      </w:r>
      <w:r w:rsidR="00804832" w:rsidRPr="00270D16">
        <w:rPr>
          <w:sz w:val="24"/>
        </w:rPr>
        <w:t xml:space="preserve"> </w:t>
      </w:r>
      <w:r w:rsidR="00270D16" w:rsidRPr="00270D16">
        <w:rPr>
          <w:sz w:val="24"/>
        </w:rPr>
        <w:t xml:space="preserve">– </w:t>
      </w:r>
      <w:r>
        <w:rPr>
          <w:sz w:val="24"/>
        </w:rPr>
        <w:t xml:space="preserve"> le stesse aree sono indicate come ASSI, che però sono 9 perché si aggiungono </w:t>
      </w:r>
      <w:r w:rsidR="00270D16" w:rsidRPr="00270D16">
        <w:rPr>
          <w:sz w:val="24"/>
        </w:rPr>
        <w:t xml:space="preserve">ulteriori due “Assi”: </w:t>
      </w:r>
    </w:p>
    <w:p w:rsidR="00270D16" w:rsidRPr="00270D16" w:rsidRDefault="00270D16" w:rsidP="00270D16">
      <w:pPr>
        <w:spacing w:after="0"/>
        <w:rPr>
          <w:sz w:val="24"/>
        </w:rPr>
      </w:pPr>
      <w:r w:rsidRPr="00270D16">
        <w:rPr>
          <w:sz w:val="24"/>
        </w:rPr>
        <w:t xml:space="preserve">a) COMUNICAZIONALE; </w:t>
      </w:r>
    </w:p>
    <w:p w:rsidR="00270D16" w:rsidRDefault="00270D16" w:rsidP="00270D16">
      <w:pPr>
        <w:spacing w:after="0"/>
        <w:rPr>
          <w:sz w:val="24"/>
        </w:rPr>
      </w:pPr>
      <w:r w:rsidRPr="00270D16">
        <w:rPr>
          <w:sz w:val="24"/>
        </w:rPr>
        <w:t xml:space="preserve">B) DELL’APPRENDIMENTO. </w:t>
      </w:r>
    </w:p>
    <w:p w:rsidR="00270D16" w:rsidRPr="00270D16" w:rsidRDefault="00270D16" w:rsidP="00270D16">
      <w:pPr>
        <w:spacing w:after="0"/>
        <w:rPr>
          <w:sz w:val="24"/>
        </w:rPr>
      </w:pPr>
    </w:p>
    <w:tbl>
      <w:tblPr>
        <w:tblStyle w:val="TableGrid"/>
        <w:tblW w:w="9780" w:type="dxa"/>
        <w:tblInd w:w="-108" w:type="dxa"/>
        <w:tblCellMar>
          <w:top w:w="139" w:type="dxa"/>
          <w:left w:w="108" w:type="dxa"/>
        </w:tblCellMar>
        <w:tblLook w:val="04A0" w:firstRow="1" w:lastRow="0" w:firstColumn="1" w:lastColumn="0" w:noHBand="0" w:noVBand="1"/>
      </w:tblPr>
      <w:tblGrid>
        <w:gridCol w:w="4890"/>
        <w:gridCol w:w="4890"/>
      </w:tblGrid>
      <w:tr w:rsidR="00270D16" w:rsidRPr="00270D16" w:rsidTr="00EF43E3">
        <w:trPr>
          <w:trHeight w:val="821"/>
        </w:trPr>
        <w:tc>
          <w:tcPr>
            <w:tcW w:w="4890" w:type="dxa"/>
            <w:tcBorders>
              <w:top w:val="single" w:sz="4" w:space="0" w:color="000000"/>
              <w:left w:val="single" w:sz="4" w:space="0" w:color="000000"/>
              <w:bottom w:val="single" w:sz="4" w:space="0" w:color="000000"/>
              <w:right w:val="single" w:sz="4" w:space="0" w:color="000000"/>
            </w:tcBorders>
          </w:tcPr>
          <w:p w:rsidR="00270D16" w:rsidRPr="00270D16" w:rsidRDefault="00270D16" w:rsidP="00270D16">
            <w:pPr>
              <w:ind w:left="1147" w:right="1113"/>
              <w:jc w:val="center"/>
              <w:rPr>
                <w:rFonts w:ascii="Times New Roman" w:eastAsia="Times New Roman" w:hAnsi="Times New Roman" w:cs="Times New Roman"/>
                <w:color w:val="000000"/>
                <w:sz w:val="24"/>
              </w:rPr>
            </w:pPr>
            <w:r w:rsidRPr="00270D16">
              <w:rPr>
                <w:rFonts w:ascii="Times New Roman" w:eastAsia="Times New Roman" w:hAnsi="Times New Roman" w:cs="Times New Roman"/>
                <w:color w:val="000000"/>
                <w:sz w:val="24"/>
              </w:rPr>
              <w:t>«</w:t>
            </w:r>
            <w:r w:rsidRPr="00270D16">
              <w:rPr>
                <w:rFonts w:ascii="Times New Roman" w:eastAsia="Times New Roman" w:hAnsi="Times New Roman" w:cs="Times New Roman"/>
                <w:b/>
                <w:i/>
                <w:color w:val="000000"/>
                <w:sz w:val="24"/>
              </w:rPr>
              <w:t>D</w:t>
            </w:r>
            <w:r w:rsidRPr="00270D16">
              <w:rPr>
                <w:rFonts w:ascii="Times New Roman" w:eastAsia="Times New Roman" w:hAnsi="Times New Roman" w:cs="Times New Roman"/>
                <w:b/>
                <w:i/>
                <w:color w:val="000000"/>
                <w:sz w:val="19"/>
              </w:rPr>
              <w:t>IMENSIONI</w:t>
            </w:r>
            <w:r w:rsidRPr="00270D16">
              <w:rPr>
                <w:rFonts w:ascii="Times New Roman" w:eastAsia="Times New Roman" w:hAnsi="Times New Roman" w:cs="Times New Roman"/>
                <w:color w:val="000000"/>
                <w:sz w:val="24"/>
              </w:rPr>
              <w:t xml:space="preserve">» </w:t>
            </w:r>
          </w:p>
          <w:p w:rsidR="00270D16" w:rsidRPr="00270D16" w:rsidRDefault="00270D16" w:rsidP="00270D16">
            <w:pPr>
              <w:ind w:left="1147" w:right="1113"/>
              <w:jc w:val="center"/>
              <w:rPr>
                <w:rFonts w:ascii="Times New Roman" w:eastAsia="Times New Roman" w:hAnsi="Times New Roman" w:cs="Times New Roman"/>
                <w:color w:val="000000"/>
                <w:sz w:val="24"/>
              </w:rPr>
            </w:pPr>
            <w:r w:rsidRPr="00270D16">
              <w:rPr>
                <w:rFonts w:ascii="Times New Roman" w:eastAsia="Times New Roman" w:hAnsi="Times New Roman" w:cs="Times New Roman"/>
                <w:color w:val="000000"/>
                <w:sz w:val="24"/>
              </w:rPr>
              <w:t xml:space="preserve">(Art.  7, </w:t>
            </w:r>
            <w:proofErr w:type="spellStart"/>
            <w:r w:rsidRPr="00270D16">
              <w:rPr>
                <w:rFonts w:ascii="Times New Roman" w:eastAsia="Times New Roman" w:hAnsi="Times New Roman" w:cs="Times New Roman"/>
                <w:color w:val="000000"/>
                <w:sz w:val="24"/>
              </w:rPr>
              <w:t>DLgs</w:t>
            </w:r>
            <w:proofErr w:type="spellEnd"/>
            <w:r w:rsidRPr="00270D16">
              <w:rPr>
                <w:rFonts w:ascii="Times New Roman" w:eastAsia="Times New Roman" w:hAnsi="Times New Roman" w:cs="Times New Roman"/>
                <w:color w:val="000000"/>
                <w:sz w:val="24"/>
              </w:rPr>
              <w:t xml:space="preserve"> n. 66/2017) </w:t>
            </w:r>
          </w:p>
        </w:tc>
        <w:tc>
          <w:tcPr>
            <w:tcW w:w="4890" w:type="dxa"/>
            <w:tcBorders>
              <w:top w:val="single" w:sz="4" w:space="0" w:color="000000"/>
              <w:left w:val="single" w:sz="4" w:space="0" w:color="000000"/>
              <w:bottom w:val="single" w:sz="4" w:space="0" w:color="000000"/>
              <w:right w:val="single" w:sz="4" w:space="0" w:color="000000"/>
            </w:tcBorders>
          </w:tcPr>
          <w:p w:rsidR="00270D16" w:rsidRPr="00270D16" w:rsidRDefault="00270D16" w:rsidP="00270D16">
            <w:pPr>
              <w:spacing w:after="82"/>
              <w:ind w:right="99"/>
              <w:jc w:val="center"/>
              <w:rPr>
                <w:rFonts w:ascii="Times New Roman" w:eastAsia="Times New Roman" w:hAnsi="Times New Roman" w:cs="Times New Roman"/>
                <w:color w:val="000000"/>
                <w:sz w:val="24"/>
              </w:rPr>
            </w:pPr>
            <w:r w:rsidRPr="00270D16">
              <w:rPr>
                <w:rFonts w:ascii="Times New Roman" w:eastAsia="Times New Roman" w:hAnsi="Times New Roman" w:cs="Times New Roman"/>
                <w:color w:val="000000"/>
                <w:sz w:val="24"/>
              </w:rPr>
              <w:t>«</w:t>
            </w:r>
            <w:r w:rsidRPr="00270D16">
              <w:rPr>
                <w:rFonts w:ascii="Times New Roman" w:eastAsia="Times New Roman" w:hAnsi="Times New Roman" w:cs="Times New Roman"/>
                <w:b/>
                <w:i/>
                <w:color w:val="000000"/>
                <w:sz w:val="24"/>
              </w:rPr>
              <w:t>P</w:t>
            </w:r>
            <w:r w:rsidRPr="00270D16">
              <w:rPr>
                <w:rFonts w:ascii="Times New Roman" w:eastAsia="Times New Roman" w:hAnsi="Times New Roman" w:cs="Times New Roman"/>
                <w:b/>
                <w:i/>
                <w:color w:val="000000"/>
                <w:sz w:val="19"/>
              </w:rPr>
              <w:t>ARAMETRI</w:t>
            </w:r>
            <w:r w:rsidRPr="00270D16">
              <w:rPr>
                <w:rFonts w:ascii="Times New Roman" w:eastAsia="Times New Roman" w:hAnsi="Times New Roman" w:cs="Times New Roman"/>
                <w:i/>
                <w:color w:val="000000"/>
                <w:sz w:val="19"/>
              </w:rPr>
              <w:t xml:space="preserve"> </w:t>
            </w:r>
            <w:proofErr w:type="gramStart"/>
            <w:r w:rsidRPr="00270D16">
              <w:rPr>
                <w:rFonts w:ascii="Times New Roman" w:eastAsia="Times New Roman" w:hAnsi="Times New Roman" w:cs="Times New Roman"/>
                <w:i/>
                <w:color w:val="000000"/>
                <w:sz w:val="19"/>
              </w:rPr>
              <w:t xml:space="preserve">O  </w:t>
            </w:r>
            <w:r w:rsidR="00071D82" w:rsidRPr="00071D82">
              <w:rPr>
                <w:rFonts w:ascii="Times New Roman" w:eastAsia="Times New Roman" w:hAnsi="Times New Roman" w:cs="Times New Roman"/>
                <w:b/>
                <w:i/>
                <w:color w:val="000000"/>
                <w:sz w:val="19"/>
              </w:rPr>
              <w:t>AREE</w:t>
            </w:r>
            <w:proofErr w:type="gramEnd"/>
            <w:r w:rsidR="00071D82">
              <w:rPr>
                <w:rFonts w:ascii="Times New Roman" w:eastAsia="Times New Roman" w:hAnsi="Times New Roman" w:cs="Times New Roman"/>
                <w:i/>
                <w:color w:val="000000"/>
                <w:sz w:val="19"/>
              </w:rPr>
              <w:t xml:space="preserve"> O </w:t>
            </w:r>
            <w:r w:rsidRPr="00270D16">
              <w:rPr>
                <w:rFonts w:ascii="Times New Roman" w:eastAsia="Times New Roman" w:hAnsi="Times New Roman" w:cs="Times New Roman"/>
                <w:b/>
                <w:i/>
                <w:color w:val="000000"/>
                <w:sz w:val="24"/>
              </w:rPr>
              <w:t>A</w:t>
            </w:r>
            <w:r w:rsidRPr="00270D16">
              <w:rPr>
                <w:rFonts w:ascii="Times New Roman" w:eastAsia="Times New Roman" w:hAnsi="Times New Roman" w:cs="Times New Roman"/>
                <w:b/>
                <w:i/>
                <w:color w:val="000000"/>
                <w:sz w:val="19"/>
              </w:rPr>
              <w:t>SSI</w:t>
            </w:r>
            <w:r w:rsidRPr="00270D16">
              <w:rPr>
                <w:rFonts w:ascii="Times New Roman" w:eastAsia="Times New Roman" w:hAnsi="Times New Roman" w:cs="Times New Roman"/>
                <w:color w:val="000000"/>
                <w:sz w:val="24"/>
              </w:rPr>
              <w:t xml:space="preserve">» </w:t>
            </w:r>
          </w:p>
          <w:p w:rsidR="00270D16" w:rsidRPr="00270D16" w:rsidRDefault="00270D16" w:rsidP="00270D16">
            <w:pPr>
              <w:ind w:right="107"/>
              <w:jc w:val="center"/>
              <w:rPr>
                <w:rFonts w:ascii="Times New Roman" w:eastAsia="Times New Roman" w:hAnsi="Times New Roman" w:cs="Times New Roman"/>
                <w:color w:val="000000"/>
                <w:sz w:val="24"/>
              </w:rPr>
            </w:pPr>
            <w:r w:rsidRPr="00270D16">
              <w:rPr>
                <w:rFonts w:ascii="Times New Roman" w:eastAsia="Times New Roman" w:hAnsi="Times New Roman" w:cs="Times New Roman"/>
                <w:color w:val="000000"/>
                <w:sz w:val="24"/>
              </w:rPr>
              <w:t xml:space="preserve">(DPR 24 febbraio 1994) </w:t>
            </w:r>
          </w:p>
        </w:tc>
      </w:tr>
      <w:tr w:rsidR="00270D16" w:rsidRPr="00270D16" w:rsidTr="00EF43E3">
        <w:trPr>
          <w:trHeight w:val="3622"/>
        </w:trPr>
        <w:tc>
          <w:tcPr>
            <w:tcW w:w="4890" w:type="dxa"/>
            <w:tcBorders>
              <w:top w:val="single" w:sz="4" w:space="0" w:color="000000"/>
              <w:left w:val="single" w:sz="4" w:space="0" w:color="000000"/>
              <w:bottom w:val="single" w:sz="4" w:space="0" w:color="000000"/>
              <w:right w:val="single" w:sz="4" w:space="0" w:color="000000"/>
            </w:tcBorders>
            <w:vAlign w:val="center"/>
          </w:tcPr>
          <w:p w:rsidR="00270D16" w:rsidRPr="00270D16" w:rsidRDefault="00270D16" w:rsidP="00270D16">
            <w:pPr>
              <w:ind w:right="102"/>
              <w:jc w:val="both"/>
              <w:rPr>
                <w:rFonts w:ascii="Times New Roman" w:eastAsia="Times New Roman" w:hAnsi="Times New Roman" w:cs="Times New Roman"/>
                <w:color w:val="000000"/>
                <w:sz w:val="24"/>
              </w:rPr>
            </w:pPr>
            <w:r w:rsidRPr="00F57EB7">
              <w:rPr>
                <w:rFonts w:ascii="Times New Roman" w:eastAsia="Times New Roman" w:hAnsi="Times New Roman" w:cs="Times New Roman"/>
                <w:color w:val="FF0000"/>
                <w:sz w:val="24"/>
              </w:rPr>
              <w:t>A.</w:t>
            </w:r>
            <w:r w:rsidR="00F57EB7" w:rsidRPr="00F57EB7">
              <w:rPr>
                <w:rFonts w:ascii="Times New Roman" w:eastAsia="Times New Roman" w:hAnsi="Times New Roman" w:cs="Times New Roman"/>
                <w:color w:val="FF0000"/>
                <w:sz w:val="24"/>
              </w:rPr>
              <w:t xml:space="preserve"> </w:t>
            </w:r>
            <w:r w:rsidRPr="00F57EB7">
              <w:rPr>
                <w:rFonts w:ascii="Times New Roman" w:eastAsia="Times New Roman" w:hAnsi="Times New Roman" w:cs="Times New Roman"/>
                <w:color w:val="FF0000"/>
                <w:sz w:val="24"/>
              </w:rPr>
              <w:t>Dimensione della relazione, della interazione e della socializzazione</w:t>
            </w:r>
            <w:r w:rsidRPr="00270D16">
              <w:rPr>
                <w:rFonts w:ascii="Times New Roman" w:eastAsia="Times New Roman" w:hAnsi="Times New Roman" w:cs="Times New Roman"/>
                <w:color w:val="000000"/>
                <w:sz w:val="24"/>
              </w:rPr>
              <w:t xml:space="preserve">, per la quale si fa riferimento sia alla </w:t>
            </w:r>
            <w:r w:rsidRPr="00270D16">
              <w:rPr>
                <w:rFonts w:ascii="Times New Roman" w:eastAsia="Times New Roman" w:hAnsi="Times New Roman" w:cs="Times New Roman"/>
                <w:b/>
                <w:color w:val="000000"/>
                <w:sz w:val="24"/>
              </w:rPr>
              <w:t>sfera affettivo relazionale</w:t>
            </w:r>
            <w:r w:rsidRPr="00270D16">
              <w:rPr>
                <w:rFonts w:ascii="Times New Roman" w:eastAsia="Times New Roman" w:hAnsi="Times New Roman" w:cs="Times New Roman"/>
                <w:color w:val="000000"/>
                <w:sz w:val="24"/>
              </w:rPr>
              <w:t xml:space="preserve"> - considerando ad esempio l’area del sé, le variabili emotivo/affettive dell’interazione, la motivazione verso la relazione consapevole e l’apprendimento -  sia alla </w:t>
            </w:r>
            <w:r w:rsidRPr="00270D16">
              <w:rPr>
                <w:rFonts w:ascii="Times New Roman" w:eastAsia="Times New Roman" w:hAnsi="Times New Roman" w:cs="Times New Roman"/>
                <w:b/>
                <w:color w:val="000000"/>
                <w:sz w:val="24"/>
              </w:rPr>
              <w:t>sfera dei rapporti sociali</w:t>
            </w:r>
            <w:r w:rsidRPr="00270D16">
              <w:rPr>
                <w:rFonts w:ascii="Times New Roman" w:eastAsia="Times New Roman" w:hAnsi="Times New Roman" w:cs="Times New Roman"/>
                <w:color w:val="000000"/>
                <w:sz w:val="24"/>
              </w:rPr>
              <w:t xml:space="preserve"> con gli altri, con il gruppo dei pari e con gli adulti di riferimento – considerando ad esempio la capacità di rispettare le regole del contesto, di giocare/studiare/lavorare insieme agli altri, di condividere l’impegno, i tempi e i risultati comuni; </w:t>
            </w:r>
          </w:p>
        </w:tc>
        <w:tc>
          <w:tcPr>
            <w:tcW w:w="4890" w:type="dxa"/>
            <w:tcBorders>
              <w:top w:val="single" w:sz="4" w:space="0" w:color="000000"/>
              <w:left w:val="single" w:sz="4" w:space="0" w:color="000000"/>
              <w:bottom w:val="single" w:sz="4" w:space="0" w:color="000000"/>
              <w:right w:val="single" w:sz="4" w:space="0" w:color="000000"/>
            </w:tcBorders>
          </w:tcPr>
          <w:p w:rsidR="00270D16" w:rsidRPr="00270D16" w:rsidRDefault="00270D16" w:rsidP="00270D16">
            <w:pPr>
              <w:spacing w:after="199"/>
              <w:ind w:left="2"/>
              <w:rPr>
                <w:rFonts w:ascii="Times New Roman" w:eastAsia="Times New Roman" w:hAnsi="Times New Roman" w:cs="Times New Roman"/>
                <w:color w:val="000000"/>
                <w:sz w:val="24"/>
              </w:rPr>
            </w:pPr>
            <w:r w:rsidRPr="00270D16">
              <w:rPr>
                <w:rFonts w:ascii="Times New Roman" w:eastAsia="Times New Roman" w:hAnsi="Times New Roman" w:cs="Times New Roman"/>
                <w:color w:val="000000"/>
                <w:sz w:val="24"/>
              </w:rPr>
              <w:t xml:space="preserve"> </w:t>
            </w:r>
            <w:r w:rsidRPr="00270D16">
              <w:rPr>
                <w:rFonts w:ascii="Times New Roman" w:eastAsia="Times New Roman" w:hAnsi="Times New Roman" w:cs="Times New Roman"/>
                <w:b/>
                <w:color w:val="000000"/>
                <w:sz w:val="24"/>
              </w:rPr>
              <w:t>affettivo-relazionale</w:t>
            </w:r>
            <w:r w:rsidRPr="00270D16">
              <w:rPr>
                <w:rFonts w:ascii="Times New Roman" w:eastAsia="Times New Roman" w:hAnsi="Times New Roman" w:cs="Times New Roman"/>
                <w:color w:val="000000"/>
                <w:sz w:val="24"/>
              </w:rPr>
              <w:t xml:space="preserve">, esaminato nelle potenzialità esprimibili rispetto all'area del sé, al rapporto con gli altri, alle motivazioni dei rapporti e dell'atteggiamento rispetto all'apprendimento scolastico, con i suoi diversi interlocutori; </w:t>
            </w:r>
          </w:p>
          <w:p w:rsidR="00270D16" w:rsidRPr="00270D16" w:rsidRDefault="00270D16" w:rsidP="00270D16">
            <w:pPr>
              <w:ind w:left="2"/>
              <w:rPr>
                <w:rFonts w:ascii="Times New Roman" w:eastAsia="Times New Roman" w:hAnsi="Times New Roman" w:cs="Times New Roman"/>
                <w:color w:val="000000"/>
                <w:sz w:val="24"/>
              </w:rPr>
            </w:pPr>
            <w:r w:rsidRPr="00270D16">
              <w:rPr>
                <w:rFonts w:ascii="Times New Roman" w:eastAsia="Times New Roman" w:hAnsi="Times New Roman" w:cs="Times New Roman"/>
                <w:color w:val="000000"/>
                <w:sz w:val="24"/>
              </w:rPr>
              <w:t xml:space="preserve"> </w:t>
            </w:r>
          </w:p>
        </w:tc>
      </w:tr>
    </w:tbl>
    <w:p w:rsidR="00270D16" w:rsidRPr="00270D16" w:rsidRDefault="00270D16" w:rsidP="00270D16">
      <w:pPr>
        <w:spacing w:after="0" w:line="240" w:lineRule="auto"/>
        <w:jc w:val="both"/>
        <w:rPr>
          <w:rFonts w:ascii="Times New Roman" w:eastAsia="Times New Roman" w:hAnsi="Times New Roman" w:cs="Times New Roman"/>
          <w:color w:val="000000"/>
          <w:sz w:val="24"/>
          <w:lang w:eastAsia="it-IT"/>
        </w:rPr>
      </w:pPr>
      <w:r w:rsidRPr="00270D16">
        <w:rPr>
          <w:rFonts w:ascii="Calibri" w:eastAsia="Calibri" w:hAnsi="Calibri" w:cs="Calibri"/>
          <w:color w:val="000000"/>
          <w:lang w:eastAsia="it-IT"/>
        </w:rPr>
        <w:t xml:space="preserve"> </w:t>
      </w:r>
    </w:p>
    <w:tbl>
      <w:tblPr>
        <w:tblStyle w:val="TableGrid"/>
        <w:tblW w:w="9780" w:type="dxa"/>
        <w:tblInd w:w="-108" w:type="dxa"/>
        <w:tblCellMar>
          <w:top w:w="108" w:type="dxa"/>
          <w:left w:w="108" w:type="dxa"/>
          <w:right w:w="48" w:type="dxa"/>
        </w:tblCellMar>
        <w:tblLook w:val="04A0" w:firstRow="1" w:lastRow="0" w:firstColumn="1" w:lastColumn="0" w:noHBand="0" w:noVBand="1"/>
      </w:tblPr>
      <w:tblGrid>
        <w:gridCol w:w="4890"/>
        <w:gridCol w:w="4890"/>
      </w:tblGrid>
      <w:tr w:rsidR="00270D16" w:rsidRPr="00270D16" w:rsidTr="00EF43E3">
        <w:trPr>
          <w:trHeight w:val="1313"/>
        </w:trPr>
        <w:tc>
          <w:tcPr>
            <w:tcW w:w="4890" w:type="dxa"/>
            <w:vMerge w:val="restart"/>
            <w:tcBorders>
              <w:top w:val="single" w:sz="4" w:space="0" w:color="000000"/>
              <w:left w:val="single" w:sz="4" w:space="0" w:color="000000"/>
              <w:bottom w:val="single" w:sz="4" w:space="0" w:color="000000"/>
              <w:right w:val="single" w:sz="4" w:space="0" w:color="000000"/>
            </w:tcBorders>
          </w:tcPr>
          <w:p w:rsidR="00270D16" w:rsidRPr="00270D16" w:rsidRDefault="00270D16" w:rsidP="00270D16">
            <w:pPr>
              <w:ind w:right="55"/>
              <w:jc w:val="both"/>
              <w:rPr>
                <w:rFonts w:ascii="Times New Roman" w:eastAsia="Times New Roman" w:hAnsi="Times New Roman" w:cs="Times New Roman"/>
                <w:color w:val="000000"/>
                <w:sz w:val="24"/>
              </w:rPr>
            </w:pPr>
            <w:r w:rsidRPr="00F57EB7">
              <w:rPr>
                <w:rFonts w:ascii="Times New Roman" w:eastAsia="Times New Roman" w:hAnsi="Times New Roman" w:cs="Times New Roman"/>
                <w:color w:val="FF0000"/>
                <w:sz w:val="24"/>
              </w:rPr>
              <w:t>B. Dimensione della comunicazione e del linguaggio</w:t>
            </w:r>
            <w:r w:rsidRPr="00F57EB7">
              <w:rPr>
                <w:rFonts w:ascii="Times New Roman" w:eastAsia="Times New Roman" w:hAnsi="Times New Roman" w:cs="Times New Roman"/>
                <w:b/>
                <w:color w:val="FF0000"/>
                <w:sz w:val="24"/>
              </w:rPr>
              <w:t xml:space="preserve"> </w:t>
            </w:r>
            <w:r w:rsidRPr="00270D16">
              <w:rPr>
                <w:rFonts w:ascii="Times New Roman" w:eastAsia="Times New Roman" w:hAnsi="Times New Roman" w:cs="Times New Roman"/>
                <w:color w:val="000000"/>
                <w:sz w:val="24"/>
              </w:rPr>
              <w:t xml:space="preserve">per la quale si fa riferimento alla competenza linguistica, intesa come comprensione del linguaggio orale, alla produzione verbale e al relativo uso comunicativo del linguaggio verbale o di linguaggi alternativi o integrativi; si considera anche la dimensione comunicazionale, intesa come modalità di interazione, presenza e tipologia di contenuti prevalenti, utilizzo di mezzi privilegiati; </w:t>
            </w:r>
          </w:p>
        </w:tc>
        <w:tc>
          <w:tcPr>
            <w:tcW w:w="4890" w:type="dxa"/>
            <w:tcBorders>
              <w:top w:val="single" w:sz="4" w:space="0" w:color="000000"/>
              <w:left w:val="single" w:sz="4" w:space="0" w:color="000000"/>
              <w:bottom w:val="single" w:sz="4" w:space="0" w:color="000000"/>
              <w:right w:val="single" w:sz="4" w:space="0" w:color="000000"/>
            </w:tcBorders>
            <w:vAlign w:val="center"/>
          </w:tcPr>
          <w:p w:rsidR="00270D16" w:rsidRPr="00270D16" w:rsidRDefault="00270D16" w:rsidP="00270D16">
            <w:pPr>
              <w:ind w:left="2" w:right="21"/>
              <w:rPr>
                <w:rFonts w:ascii="Times New Roman" w:eastAsia="Times New Roman" w:hAnsi="Times New Roman" w:cs="Times New Roman"/>
                <w:color w:val="000000"/>
                <w:sz w:val="24"/>
              </w:rPr>
            </w:pPr>
            <w:r w:rsidRPr="00270D16">
              <w:rPr>
                <w:rFonts w:ascii="Times New Roman" w:eastAsia="Times New Roman" w:hAnsi="Times New Roman" w:cs="Times New Roman"/>
                <w:b/>
                <w:color w:val="000000"/>
                <w:sz w:val="24"/>
              </w:rPr>
              <w:t>comunicazionale</w:t>
            </w:r>
            <w:r w:rsidRPr="00270D16">
              <w:rPr>
                <w:rFonts w:ascii="Times New Roman" w:eastAsia="Times New Roman" w:hAnsi="Times New Roman" w:cs="Times New Roman"/>
                <w:color w:val="000000"/>
                <w:sz w:val="24"/>
              </w:rPr>
              <w:t xml:space="preserve">, esaminato nelle potenzialità esprimibili in relazione alle modalità di interazione, ai contenuti prevalenti, ai mezzi privilegiati; </w:t>
            </w:r>
          </w:p>
        </w:tc>
      </w:tr>
      <w:tr w:rsidR="00270D16" w:rsidRPr="00270D16" w:rsidTr="00EF43E3">
        <w:trPr>
          <w:trHeight w:val="1868"/>
        </w:trPr>
        <w:tc>
          <w:tcPr>
            <w:tcW w:w="0" w:type="auto"/>
            <w:vMerge/>
            <w:tcBorders>
              <w:top w:val="nil"/>
              <w:left w:val="single" w:sz="4" w:space="0" w:color="000000"/>
              <w:bottom w:val="single" w:sz="4" w:space="0" w:color="000000"/>
              <w:right w:val="single" w:sz="4" w:space="0" w:color="000000"/>
            </w:tcBorders>
          </w:tcPr>
          <w:p w:rsidR="00270D16" w:rsidRPr="00270D16" w:rsidRDefault="00270D16" w:rsidP="00270D16">
            <w:pPr>
              <w:rPr>
                <w:rFonts w:ascii="Times New Roman" w:eastAsia="Times New Roman" w:hAnsi="Times New Roman" w:cs="Times New Roman"/>
                <w:color w:val="000000"/>
                <w:sz w:val="24"/>
              </w:rPr>
            </w:pPr>
          </w:p>
        </w:tc>
        <w:tc>
          <w:tcPr>
            <w:tcW w:w="4890" w:type="dxa"/>
            <w:tcBorders>
              <w:top w:val="single" w:sz="4" w:space="0" w:color="000000"/>
              <w:left w:val="single" w:sz="4" w:space="0" w:color="000000"/>
              <w:bottom w:val="single" w:sz="4" w:space="0" w:color="000000"/>
              <w:right w:val="single" w:sz="4" w:space="0" w:color="000000"/>
            </w:tcBorders>
            <w:vAlign w:val="center"/>
          </w:tcPr>
          <w:p w:rsidR="00270D16" w:rsidRPr="00270D16" w:rsidRDefault="00270D16" w:rsidP="00270D16">
            <w:pPr>
              <w:ind w:left="2" w:right="62"/>
              <w:rPr>
                <w:rFonts w:ascii="Times New Roman" w:eastAsia="Times New Roman" w:hAnsi="Times New Roman" w:cs="Times New Roman"/>
                <w:color w:val="000000"/>
                <w:sz w:val="24"/>
              </w:rPr>
            </w:pPr>
            <w:r w:rsidRPr="00270D16">
              <w:rPr>
                <w:rFonts w:ascii="Times New Roman" w:eastAsia="Times New Roman" w:hAnsi="Times New Roman" w:cs="Times New Roman"/>
                <w:b/>
                <w:color w:val="000000"/>
                <w:sz w:val="24"/>
              </w:rPr>
              <w:t>linguistico</w:t>
            </w:r>
            <w:r w:rsidRPr="00270D16">
              <w:rPr>
                <w:rFonts w:ascii="Times New Roman" w:eastAsia="Times New Roman" w:hAnsi="Times New Roman" w:cs="Times New Roman"/>
                <w:color w:val="000000"/>
                <w:sz w:val="24"/>
              </w:rPr>
              <w:t xml:space="preserve">, esaminato nelle potenzialità esprimibili in relazione alla comprensione del linguaggio orale, alla produzione verbale, all'uso comunicativo del linguaggio verbale, all'uso del pensiero verbale, all'uso di linguaggi alternativi o integrativi; </w:t>
            </w:r>
          </w:p>
        </w:tc>
      </w:tr>
      <w:tr w:rsidR="00270D16" w:rsidRPr="00270D16" w:rsidTr="00EF43E3">
        <w:trPr>
          <w:trHeight w:val="1037"/>
        </w:trPr>
        <w:tc>
          <w:tcPr>
            <w:tcW w:w="4890" w:type="dxa"/>
            <w:vMerge w:val="restart"/>
            <w:tcBorders>
              <w:top w:val="single" w:sz="4" w:space="0" w:color="000000"/>
              <w:left w:val="single" w:sz="4" w:space="0" w:color="000000"/>
              <w:bottom w:val="single" w:sz="4" w:space="0" w:color="000000"/>
              <w:right w:val="single" w:sz="4" w:space="0" w:color="000000"/>
            </w:tcBorders>
          </w:tcPr>
          <w:p w:rsidR="00270D16" w:rsidRPr="00270D16" w:rsidRDefault="00270D16" w:rsidP="00270D16">
            <w:pPr>
              <w:ind w:right="57"/>
              <w:jc w:val="both"/>
              <w:rPr>
                <w:rFonts w:ascii="Times New Roman" w:eastAsia="Times New Roman" w:hAnsi="Times New Roman" w:cs="Times New Roman"/>
                <w:color w:val="000000"/>
                <w:sz w:val="24"/>
              </w:rPr>
            </w:pPr>
            <w:r w:rsidRPr="00F57EB7">
              <w:rPr>
                <w:rFonts w:ascii="Times New Roman" w:eastAsia="Times New Roman" w:hAnsi="Times New Roman" w:cs="Times New Roman"/>
                <w:color w:val="FF0000"/>
                <w:sz w:val="24"/>
              </w:rPr>
              <w:lastRenderedPageBreak/>
              <w:t xml:space="preserve">C. Dimensione dell’autonomia e dell’orientamento </w:t>
            </w:r>
            <w:r w:rsidRPr="00270D16">
              <w:rPr>
                <w:rFonts w:ascii="Times New Roman" w:eastAsia="Times New Roman" w:hAnsi="Times New Roman" w:cs="Times New Roman"/>
                <w:color w:val="000000"/>
                <w:sz w:val="24"/>
              </w:rPr>
              <w:t xml:space="preserve">per la quale si fa riferimento all’autonomia della persona e all’autonomia sociale, alle dimensioni </w:t>
            </w:r>
            <w:r w:rsidRPr="00270D16">
              <w:rPr>
                <w:rFonts w:ascii="Times New Roman" w:eastAsia="Times New Roman" w:hAnsi="Times New Roman" w:cs="Times New Roman"/>
                <w:b/>
                <w:color w:val="000000"/>
                <w:sz w:val="24"/>
              </w:rPr>
              <w:t>motorio-prassica</w:t>
            </w:r>
            <w:r w:rsidRPr="00270D16">
              <w:rPr>
                <w:rFonts w:ascii="Times New Roman" w:eastAsia="Times New Roman" w:hAnsi="Times New Roman" w:cs="Times New Roman"/>
                <w:color w:val="000000"/>
                <w:sz w:val="24"/>
              </w:rPr>
              <w:t xml:space="preserve"> (motricità globale, motricità fine, prassie semplici e complesse) e </w:t>
            </w:r>
            <w:r w:rsidRPr="00270D16">
              <w:rPr>
                <w:rFonts w:ascii="Times New Roman" w:eastAsia="Times New Roman" w:hAnsi="Times New Roman" w:cs="Times New Roman"/>
                <w:b/>
                <w:color w:val="000000"/>
                <w:sz w:val="24"/>
              </w:rPr>
              <w:t>sensoriale</w:t>
            </w:r>
            <w:r w:rsidRPr="00270D16">
              <w:rPr>
                <w:rFonts w:ascii="Times New Roman" w:eastAsia="Times New Roman" w:hAnsi="Times New Roman" w:cs="Times New Roman"/>
                <w:color w:val="000000"/>
                <w:sz w:val="24"/>
              </w:rPr>
              <w:t xml:space="preserve"> (funzionalità visiva, uditiva, tattile); </w:t>
            </w:r>
          </w:p>
        </w:tc>
        <w:tc>
          <w:tcPr>
            <w:tcW w:w="4890" w:type="dxa"/>
            <w:tcBorders>
              <w:top w:val="single" w:sz="4" w:space="0" w:color="000000"/>
              <w:left w:val="single" w:sz="4" w:space="0" w:color="000000"/>
              <w:bottom w:val="single" w:sz="4" w:space="0" w:color="000000"/>
              <w:right w:val="single" w:sz="4" w:space="0" w:color="000000"/>
            </w:tcBorders>
            <w:vAlign w:val="center"/>
          </w:tcPr>
          <w:p w:rsidR="00270D16" w:rsidRPr="00270D16" w:rsidRDefault="00270D16" w:rsidP="00B813D3">
            <w:pPr>
              <w:rPr>
                <w:rFonts w:ascii="Times New Roman" w:eastAsia="Times New Roman" w:hAnsi="Times New Roman" w:cs="Times New Roman"/>
                <w:color w:val="000000"/>
                <w:sz w:val="24"/>
              </w:rPr>
            </w:pPr>
            <w:r w:rsidRPr="00270D16">
              <w:rPr>
                <w:rFonts w:ascii="Times New Roman" w:eastAsia="Times New Roman" w:hAnsi="Times New Roman" w:cs="Times New Roman"/>
                <w:b/>
                <w:color w:val="000000"/>
                <w:sz w:val="24"/>
              </w:rPr>
              <w:t>autonomia</w:t>
            </w:r>
            <w:r w:rsidRPr="00270D16">
              <w:rPr>
                <w:rFonts w:ascii="Times New Roman" w:eastAsia="Times New Roman" w:hAnsi="Times New Roman" w:cs="Times New Roman"/>
                <w:color w:val="000000"/>
                <w:sz w:val="24"/>
              </w:rPr>
              <w:t xml:space="preserve">, esaminata con riferimento alle potenzialità esprimibili in relazione all'autonomia della persona e all'autonomia sociale; </w:t>
            </w:r>
          </w:p>
        </w:tc>
      </w:tr>
      <w:tr w:rsidR="00270D16" w:rsidRPr="00270D16" w:rsidTr="00EF43E3">
        <w:trPr>
          <w:trHeight w:val="1592"/>
        </w:trPr>
        <w:tc>
          <w:tcPr>
            <w:tcW w:w="0" w:type="auto"/>
            <w:vMerge/>
            <w:tcBorders>
              <w:top w:val="nil"/>
              <w:left w:val="single" w:sz="4" w:space="0" w:color="000000"/>
              <w:bottom w:val="nil"/>
              <w:right w:val="single" w:sz="4" w:space="0" w:color="000000"/>
            </w:tcBorders>
          </w:tcPr>
          <w:p w:rsidR="00270D16" w:rsidRPr="00270D16" w:rsidRDefault="00270D16" w:rsidP="00270D16">
            <w:pPr>
              <w:rPr>
                <w:rFonts w:ascii="Times New Roman" w:eastAsia="Times New Roman" w:hAnsi="Times New Roman" w:cs="Times New Roman"/>
                <w:color w:val="000000"/>
                <w:sz w:val="24"/>
              </w:rPr>
            </w:pPr>
          </w:p>
        </w:tc>
        <w:tc>
          <w:tcPr>
            <w:tcW w:w="4890" w:type="dxa"/>
            <w:tcBorders>
              <w:top w:val="single" w:sz="4" w:space="0" w:color="000000"/>
              <w:left w:val="single" w:sz="4" w:space="0" w:color="000000"/>
              <w:bottom w:val="single" w:sz="4" w:space="0" w:color="000000"/>
              <w:right w:val="single" w:sz="4" w:space="0" w:color="000000"/>
            </w:tcBorders>
            <w:vAlign w:val="center"/>
          </w:tcPr>
          <w:p w:rsidR="00270D16" w:rsidRPr="00270D16" w:rsidRDefault="00270D16" w:rsidP="00270D16">
            <w:pPr>
              <w:ind w:left="2"/>
              <w:rPr>
                <w:rFonts w:ascii="Times New Roman" w:eastAsia="Times New Roman" w:hAnsi="Times New Roman" w:cs="Times New Roman"/>
                <w:color w:val="000000"/>
                <w:sz w:val="24"/>
              </w:rPr>
            </w:pPr>
            <w:r w:rsidRPr="00270D16">
              <w:rPr>
                <w:rFonts w:ascii="Times New Roman" w:eastAsia="Times New Roman" w:hAnsi="Times New Roman" w:cs="Times New Roman"/>
                <w:b/>
                <w:color w:val="000000"/>
                <w:sz w:val="24"/>
              </w:rPr>
              <w:t>motorio-prassico</w:t>
            </w:r>
            <w:r w:rsidRPr="00270D16">
              <w:rPr>
                <w:rFonts w:ascii="Times New Roman" w:eastAsia="Times New Roman" w:hAnsi="Times New Roman" w:cs="Times New Roman"/>
                <w:color w:val="000000"/>
                <w:sz w:val="24"/>
              </w:rPr>
              <w:t xml:space="preserve">, esaminato in riferimento alle potenzialità esprimibili in ordine alla motricità globale, alla motricità fine, alle prassie semplici e complesse e alle capacità di programmazione motorie interiorizzate; </w:t>
            </w:r>
          </w:p>
        </w:tc>
      </w:tr>
      <w:tr w:rsidR="00270D16" w:rsidRPr="00270D16" w:rsidTr="00EF43E3">
        <w:trPr>
          <w:trHeight w:val="1037"/>
        </w:trPr>
        <w:tc>
          <w:tcPr>
            <w:tcW w:w="0" w:type="auto"/>
            <w:vMerge/>
            <w:tcBorders>
              <w:top w:val="nil"/>
              <w:left w:val="single" w:sz="4" w:space="0" w:color="000000"/>
              <w:bottom w:val="single" w:sz="4" w:space="0" w:color="000000"/>
              <w:right w:val="single" w:sz="4" w:space="0" w:color="000000"/>
            </w:tcBorders>
          </w:tcPr>
          <w:p w:rsidR="00270D16" w:rsidRPr="00270D16" w:rsidRDefault="00270D16" w:rsidP="00270D16">
            <w:pPr>
              <w:rPr>
                <w:rFonts w:ascii="Times New Roman" w:eastAsia="Times New Roman" w:hAnsi="Times New Roman" w:cs="Times New Roman"/>
                <w:color w:val="000000"/>
                <w:sz w:val="24"/>
              </w:rPr>
            </w:pPr>
          </w:p>
        </w:tc>
        <w:tc>
          <w:tcPr>
            <w:tcW w:w="4890" w:type="dxa"/>
            <w:tcBorders>
              <w:top w:val="single" w:sz="4" w:space="0" w:color="000000"/>
              <w:left w:val="single" w:sz="4" w:space="0" w:color="000000"/>
              <w:bottom w:val="single" w:sz="4" w:space="0" w:color="000000"/>
              <w:right w:val="single" w:sz="4" w:space="0" w:color="000000"/>
            </w:tcBorders>
            <w:vAlign w:val="center"/>
          </w:tcPr>
          <w:p w:rsidR="00270D16" w:rsidRPr="00270D16" w:rsidRDefault="00270D16" w:rsidP="00B813D3">
            <w:pPr>
              <w:rPr>
                <w:rFonts w:ascii="Times New Roman" w:eastAsia="Times New Roman" w:hAnsi="Times New Roman" w:cs="Times New Roman"/>
                <w:color w:val="000000"/>
                <w:sz w:val="24"/>
              </w:rPr>
            </w:pPr>
            <w:r w:rsidRPr="00270D16">
              <w:rPr>
                <w:rFonts w:ascii="Times New Roman" w:eastAsia="Times New Roman" w:hAnsi="Times New Roman" w:cs="Times New Roman"/>
                <w:b/>
                <w:color w:val="000000"/>
                <w:sz w:val="24"/>
              </w:rPr>
              <w:t>sensoriale</w:t>
            </w:r>
            <w:r w:rsidRPr="00270D16">
              <w:rPr>
                <w:rFonts w:ascii="Times New Roman" w:eastAsia="Times New Roman" w:hAnsi="Times New Roman" w:cs="Times New Roman"/>
                <w:color w:val="000000"/>
                <w:sz w:val="24"/>
              </w:rPr>
              <w:t xml:space="preserve">, esaminato, soprattutto, in riferimento alle potenzialità riferibili alla funzionalità visiva, uditiva e tattile; </w:t>
            </w:r>
          </w:p>
        </w:tc>
      </w:tr>
      <w:tr w:rsidR="00270D16" w:rsidRPr="00270D16" w:rsidTr="00EF43E3">
        <w:trPr>
          <w:trHeight w:val="2696"/>
        </w:trPr>
        <w:tc>
          <w:tcPr>
            <w:tcW w:w="4890" w:type="dxa"/>
            <w:vMerge w:val="restart"/>
            <w:tcBorders>
              <w:top w:val="single" w:sz="4" w:space="0" w:color="000000"/>
              <w:left w:val="single" w:sz="4" w:space="0" w:color="000000"/>
              <w:bottom w:val="single" w:sz="4" w:space="0" w:color="000000"/>
              <w:right w:val="single" w:sz="4" w:space="0" w:color="000000"/>
            </w:tcBorders>
          </w:tcPr>
          <w:p w:rsidR="00270D16" w:rsidRPr="00270D16" w:rsidRDefault="00270D16" w:rsidP="00270D16">
            <w:pPr>
              <w:spacing w:after="98"/>
              <w:ind w:right="198"/>
              <w:jc w:val="both"/>
              <w:rPr>
                <w:rFonts w:ascii="Times New Roman" w:eastAsia="Times New Roman" w:hAnsi="Times New Roman" w:cs="Times New Roman"/>
                <w:color w:val="000000"/>
                <w:sz w:val="24"/>
              </w:rPr>
            </w:pPr>
            <w:r w:rsidRPr="00F57EB7">
              <w:rPr>
                <w:rFonts w:ascii="Times New Roman" w:eastAsia="Times New Roman" w:hAnsi="Times New Roman" w:cs="Times New Roman"/>
                <w:color w:val="FF0000"/>
                <w:sz w:val="24"/>
              </w:rPr>
              <w:t xml:space="preserve">D. Dimensione </w:t>
            </w:r>
            <w:r w:rsidRPr="00F57EB7">
              <w:rPr>
                <w:rFonts w:ascii="Times New Roman" w:eastAsia="Times New Roman" w:hAnsi="Times New Roman" w:cs="Times New Roman"/>
                <w:b/>
                <w:color w:val="FF0000"/>
                <w:sz w:val="24"/>
              </w:rPr>
              <w:t>cognitiva</w:t>
            </w:r>
            <w:r w:rsidRPr="00F57EB7">
              <w:rPr>
                <w:rFonts w:ascii="Times New Roman" w:eastAsia="Times New Roman" w:hAnsi="Times New Roman" w:cs="Times New Roman"/>
                <w:color w:val="FF0000"/>
                <w:sz w:val="24"/>
              </w:rPr>
              <w:t xml:space="preserve">, </w:t>
            </w:r>
            <w:r w:rsidRPr="00F57EB7">
              <w:rPr>
                <w:rFonts w:ascii="Times New Roman" w:eastAsia="Times New Roman" w:hAnsi="Times New Roman" w:cs="Times New Roman"/>
                <w:b/>
                <w:color w:val="FF0000"/>
                <w:sz w:val="24"/>
              </w:rPr>
              <w:t>neuropsicologica</w:t>
            </w:r>
            <w:r w:rsidRPr="00F57EB7">
              <w:rPr>
                <w:rFonts w:ascii="Times New Roman" w:eastAsia="Times New Roman" w:hAnsi="Times New Roman" w:cs="Times New Roman"/>
                <w:color w:val="FF0000"/>
                <w:sz w:val="24"/>
              </w:rPr>
              <w:t xml:space="preserve"> e dell’</w:t>
            </w:r>
            <w:r w:rsidRPr="00F57EB7">
              <w:rPr>
                <w:rFonts w:ascii="Times New Roman" w:eastAsia="Times New Roman" w:hAnsi="Times New Roman" w:cs="Times New Roman"/>
                <w:b/>
                <w:color w:val="FF0000"/>
                <w:sz w:val="24"/>
              </w:rPr>
              <w:t>apprendimento</w:t>
            </w:r>
            <w:r w:rsidRPr="00270D16">
              <w:rPr>
                <w:rFonts w:ascii="Times New Roman" w:eastAsia="Times New Roman" w:hAnsi="Times New Roman" w:cs="Times New Roman"/>
                <w:color w:val="000000"/>
                <w:sz w:val="24"/>
              </w:rPr>
              <w:t xml:space="preserve">, per la quale si fa riferimento alle capacità mnesiche, intellettive e all’organizzazione spazio-temporale; al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 </w:t>
            </w:r>
          </w:p>
          <w:p w:rsidR="00270D16" w:rsidRPr="00270D16" w:rsidRDefault="00270D16" w:rsidP="00270D16">
            <w:pPr>
              <w:spacing w:after="74"/>
              <w:rPr>
                <w:rFonts w:ascii="Times New Roman" w:eastAsia="Times New Roman" w:hAnsi="Times New Roman" w:cs="Times New Roman"/>
                <w:color w:val="000000"/>
                <w:sz w:val="24"/>
              </w:rPr>
            </w:pPr>
            <w:r w:rsidRPr="00270D16">
              <w:rPr>
                <w:rFonts w:ascii="Times New Roman" w:eastAsia="Times New Roman" w:hAnsi="Times New Roman" w:cs="Times New Roman"/>
                <w:color w:val="000000"/>
                <w:sz w:val="24"/>
              </w:rPr>
              <w:t xml:space="preserve"> </w:t>
            </w:r>
          </w:p>
          <w:p w:rsidR="00270D16" w:rsidRPr="00270D16" w:rsidRDefault="00270D16" w:rsidP="00270D16">
            <w:pPr>
              <w:rPr>
                <w:rFonts w:ascii="Times New Roman" w:eastAsia="Times New Roman" w:hAnsi="Times New Roman" w:cs="Times New Roman"/>
                <w:color w:val="000000"/>
                <w:sz w:val="24"/>
              </w:rPr>
            </w:pPr>
            <w:r w:rsidRPr="00270D16">
              <w:rPr>
                <w:rFonts w:ascii="Times New Roman" w:eastAsia="Times New Roman" w:hAnsi="Times New Roman" w:cs="Times New Roman"/>
                <w:color w:val="000000"/>
                <w:sz w:val="24"/>
              </w:rPr>
              <w:t xml:space="preserve"> </w:t>
            </w:r>
          </w:p>
        </w:tc>
        <w:tc>
          <w:tcPr>
            <w:tcW w:w="4890" w:type="dxa"/>
            <w:tcBorders>
              <w:top w:val="single" w:sz="4" w:space="0" w:color="000000"/>
              <w:left w:val="single" w:sz="4" w:space="0" w:color="000000"/>
              <w:bottom w:val="single" w:sz="4" w:space="0" w:color="000000"/>
              <w:right w:val="single" w:sz="4" w:space="0" w:color="000000"/>
            </w:tcBorders>
            <w:vAlign w:val="center"/>
          </w:tcPr>
          <w:p w:rsidR="00270D16" w:rsidRPr="00270D16" w:rsidRDefault="00270D16" w:rsidP="00270D16">
            <w:pPr>
              <w:ind w:left="2" w:right="43"/>
              <w:rPr>
                <w:rFonts w:ascii="Times New Roman" w:eastAsia="Times New Roman" w:hAnsi="Times New Roman" w:cs="Times New Roman"/>
                <w:color w:val="000000"/>
                <w:sz w:val="24"/>
              </w:rPr>
            </w:pPr>
            <w:r w:rsidRPr="00270D16">
              <w:rPr>
                <w:rFonts w:ascii="Times New Roman" w:eastAsia="Times New Roman" w:hAnsi="Times New Roman" w:cs="Times New Roman"/>
                <w:b/>
                <w:color w:val="000000"/>
                <w:sz w:val="24"/>
              </w:rPr>
              <w:t>cognitivo</w:t>
            </w:r>
            <w:r w:rsidRPr="00270D16">
              <w:rPr>
                <w:rFonts w:ascii="Times New Roman" w:eastAsia="Times New Roman" w:hAnsi="Times New Roman" w:cs="Times New Roman"/>
                <w:color w:val="000000"/>
                <w:sz w:val="24"/>
              </w:rPr>
              <w:t xml:space="preserve">, esaminato nelle potenzialità esprimibili in relazione al livello di sviluppo raggiunto (normodotazione; ritardo lieve, medio, grave; disarmonia medio grave; fase di sviluppo controllata; età mentale, ecc.) alle strategie utilizzate per la soluzione dei compiti propri della fascia di età, allo stile cognitivo, alla capacità di usare, in modo integrato, competenze diverse; </w:t>
            </w:r>
          </w:p>
        </w:tc>
      </w:tr>
      <w:tr w:rsidR="00270D16" w:rsidRPr="00270D16" w:rsidTr="00EF43E3">
        <w:trPr>
          <w:trHeight w:val="1313"/>
        </w:trPr>
        <w:tc>
          <w:tcPr>
            <w:tcW w:w="0" w:type="auto"/>
            <w:vMerge/>
            <w:tcBorders>
              <w:top w:val="nil"/>
              <w:left w:val="single" w:sz="4" w:space="0" w:color="000000"/>
              <w:bottom w:val="nil"/>
              <w:right w:val="single" w:sz="4" w:space="0" w:color="000000"/>
            </w:tcBorders>
          </w:tcPr>
          <w:p w:rsidR="00270D16" w:rsidRPr="00270D16" w:rsidRDefault="00270D16" w:rsidP="00270D16">
            <w:pPr>
              <w:rPr>
                <w:rFonts w:ascii="Times New Roman" w:eastAsia="Times New Roman" w:hAnsi="Times New Roman" w:cs="Times New Roman"/>
                <w:color w:val="000000"/>
                <w:sz w:val="24"/>
              </w:rPr>
            </w:pPr>
          </w:p>
        </w:tc>
        <w:tc>
          <w:tcPr>
            <w:tcW w:w="4890" w:type="dxa"/>
            <w:tcBorders>
              <w:top w:val="single" w:sz="4" w:space="0" w:color="000000"/>
              <w:left w:val="single" w:sz="4" w:space="0" w:color="000000"/>
              <w:bottom w:val="single" w:sz="4" w:space="0" w:color="000000"/>
              <w:right w:val="single" w:sz="4" w:space="0" w:color="000000"/>
            </w:tcBorders>
            <w:vAlign w:val="center"/>
          </w:tcPr>
          <w:p w:rsidR="00270D16" w:rsidRPr="00270D16" w:rsidRDefault="00270D16" w:rsidP="00270D16">
            <w:pPr>
              <w:ind w:left="2"/>
              <w:rPr>
                <w:rFonts w:ascii="Times New Roman" w:eastAsia="Times New Roman" w:hAnsi="Times New Roman" w:cs="Times New Roman"/>
                <w:color w:val="000000"/>
                <w:sz w:val="24"/>
              </w:rPr>
            </w:pPr>
            <w:r w:rsidRPr="00270D16">
              <w:rPr>
                <w:rFonts w:ascii="Times New Roman" w:eastAsia="Times New Roman" w:hAnsi="Times New Roman" w:cs="Times New Roman"/>
                <w:b/>
                <w:color w:val="000000"/>
                <w:sz w:val="24"/>
              </w:rPr>
              <w:t>neuropsicologico</w:t>
            </w:r>
            <w:r w:rsidRPr="00270D16">
              <w:rPr>
                <w:rFonts w:ascii="Times New Roman" w:eastAsia="Times New Roman" w:hAnsi="Times New Roman" w:cs="Times New Roman"/>
                <w:color w:val="000000"/>
                <w:sz w:val="24"/>
              </w:rPr>
              <w:t xml:space="preserve">, esaminato in riferimento alle potenzialità esprimibili riguardo alle capacità mnesiche, alla capacità intellettiva e all'organizzazione spazio-temporale; </w:t>
            </w:r>
          </w:p>
        </w:tc>
      </w:tr>
      <w:tr w:rsidR="00270D16" w:rsidRPr="00270D16" w:rsidTr="00270D16">
        <w:trPr>
          <w:trHeight w:val="432"/>
        </w:trPr>
        <w:tc>
          <w:tcPr>
            <w:tcW w:w="0" w:type="auto"/>
            <w:vMerge/>
            <w:tcBorders>
              <w:top w:val="nil"/>
              <w:left w:val="single" w:sz="4" w:space="0" w:color="000000"/>
              <w:bottom w:val="single" w:sz="4" w:space="0" w:color="000000"/>
              <w:right w:val="single" w:sz="4" w:space="0" w:color="000000"/>
            </w:tcBorders>
          </w:tcPr>
          <w:p w:rsidR="00270D16" w:rsidRPr="00270D16" w:rsidRDefault="00270D16" w:rsidP="00270D16">
            <w:pPr>
              <w:rPr>
                <w:rFonts w:ascii="Times New Roman" w:eastAsia="Times New Roman" w:hAnsi="Times New Roman" w:cs="Times New Roman"/>
                <w:color w:val="000000"/>
                <w:sz w:val="24"/>
              </w:rPr>
            </w:pPr>
          </w:p>
        </w:tc>
        <w:tc>
          <w:tcPr>
            <w:tcW w:w="4890" w:type="dxa"/>
            <w:tcBorders>
              <w:top w:val="single" w:sz="4" w:space="0" w:color="000000"/>
              <w:left w:val="single" w:sz="4" w:space="0" w:color="000000"/>
              <w:bottom w:val="single" w:sz="4" w:space="0" w:color="000000"/>
              <w:right w:val="single" w:sz="4" w:space="0" w:color="000000"/>
            </w:tcBorders>
          </w:tcPr>
          <w:p w:rsidR="00270D16" w:rsidRPr="00270D16" w:rsidRDefault="001A3FFC" w:rsidP="001A3FFC">
            <w:pPr>
              <w:spacing w:after="98"/>
              <w:ind w:right="19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Dell’</w:t>
            </w:r>
            <w:r w:rsidRPr="001A3FFC">
              <w:rPr>
                <w:rFonts w:ascii="Times New Roman" w:eastAsia="Times New Roman" w:hAnsi="Times New Roman" w:cs="Times New Roman"/>
                <w:b/>
                <w:color w:val="000000"/>
                <w:sz w:val="24"/>
              </w:rPr>
              <w:t>app</w:t>
            </w:r>
            <w:r>
              <w:rPr>
                <w:rFonts w:ascii="Times New Roman" w:eastAsia="Times New Roman" w:hAnsi="Times New Roman" w:cs="Times New Roman"/>
                <w:b/>
                <w:color w:val="000000"/>
                <w:sz w:val="24"/>
              </w:rPr>
              <w:t>r</w:t>
            </w:r>
            <w:r w:rsidRPr="001A3FFC">
              <w:rPr>
                <w:rFonts w:ascii="Times New Roman" w:eastAsia="Times New Roman" w:hAnsi="Times New Roman" w:cs="Times New Roman"/>
                <w:b/>
                <w:color w:val="000000"/>
                <w:sz w:val="24"/>
              </w:rPr>
              <w:t>endimento</w:t>
            </w:r>
            <w:r w:rsidR="00270D16" w:rsidRPr="00270D1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esaminato in riferimento </w:t>
            </w:r>
            <w:r w:rsidRPr="00270D16">
              <w:rPr>
                <w:rFonts w:ascii="Times New Roman" w:eastAsia="Times New Roman" w:hAnsi="Times New Roman" w:cs="Times New Roman"/>
                <w:color w:val="000000"/>
                <w:sz w:val="24"/>
              </w:rPr>
              <w:t xml:space="preserve">alle competenze di lettura, scrittura, calcolo, decodifica di testi o messaggi. </w:t>
            </w:r>
          </w:p>
        </w:tc>
      </w:tr>
    </w:tbl>
    <w:p w:rsidR="00270D16" w:rsidRPr="00270D16" w:rsidRDefault="00270D16" w:rsidP="00270D16">
      <w:pPr>
        <w:spacing w:after="0"/>
        <w:rPr>
          <w:rFonts w:ascii="Times New Roman" w:eastAsia="Times New Roman" w:hAnsi="Times New Roman" w:cs="Times New Roman"/>
          <w:color w:val="000000"/>
          <w:sz w:val="24"/>
          <w:lang w:eastAsia="it-IT"/>
        </w:rPr>
      </w:pPr>
      <w:r w:rsidRPr="00270D16">
        <w:rPr>
          <w:rFonts w:ascii="Calibri" w:eastAsia="Calibri" w:hAnsi="Calibri" w:cs="Calibri"/>
          <w:color w:val="000000"/>
          <w:lang w:eastAsia="it-IT"/>
        </w:rPr>
        <w:t xml:space="preserve"> </w:t>
      </w:r>
    </w:p>
    <w:p w:rsidR="00270D16" w:rsidRPr="00270D16" w:rsidRDefault="00270D16" w:rsidP="00270D16">
      <w:pPr>
        <w:rPr>
          <w:sz w:val="32"/>
        </w:rPr>
      </w:pPr>
    </w:p>
    <w:sectPr w:rsidR="00270D16" w:rsidRPr="00270D16" w:rsidSect="00071D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149DA"/>
    <w:multiLevelType w:val="hybridMultilevel"/>
    <w:tmpl w:val="EBEC57CA"/>
    <w:lvl w:ilvl="0" w:tplc="7CBE24B0">
      <w:start w:val="1"/>
      <w:numFmt w:val="lowerLetter"/>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479C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269DD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A4823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3EF82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56D75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06BB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82F38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BCA9D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16"/>
    <w:rsid w:val="00071D82"/>
    <w:rsid w:val="001A3FFC"/>
    <w:rsid w:val="00270D16"/>
    <w:rsid w:val="00804832"/>
    <w:rsid w:val="008E000F"/>
    <w:rsid w:val="008F4A53"/>
    <w:rsid w:val="00B813D3"/>
    <w:rsid w:val="00DA18DB"/>
    <w:rsid w:val="00E428A9"/>
    <w:rsid w:val="00F57E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52ED"/>
  <w15:chartTrackingRefBased/>
  <w15:docId w15:val="{9857514B-4B94-4D06-A9CA-99F1E158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270D16"/>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649</Words>
  <Characters>3702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giuseppestrusi@yahoo.it</dc:creator>
  <cp:keywords/>
  <dc:description/>
  <cp:lastModifiedBy>giuseppestrusi@yahoo.it</cp:lastModifiedBy>
  <cp:revision>10</cp:revision>
  <dcterms:created xsi:type="dcterms:W3CDTF">2021-06-22T15:00:00Z</dcterms:created>
  <dcterms:modified xsi:type="dcterms:W3CDTF">2023-09-17T10:26:00Z</dcterms:modified>
</cp:coreProperties>
</file>